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3D551" w14:textId="77777777" w:rsidR="00736146" w:rsidRPr="00603F8C" w:rsidRDefault="00736146" w:rsidP="00175F08">
      <w:pPr>
        <w:pStyle w:val="CRCoverPage"/>
        <w:tabs>
          <w:tab w:val="right" w:pos="9639"/>
        </w:tabs>
        <w:spacing w:after="0"/>
        <w:rPr>
          <w:b/>
          <w:sz w:val="24"/>
        </w:rPr>
      </w:pPr>
    </w:p>
    <w:p w14:paraId="1D7B86F4" w14:textId="77777777" w:rsidR="00736146" w:rsidRPr="00603F8C" w:rsidRDefault="00736146" w:rsidP="00736146">
      <w:pPr>
        <w:tabs>
          <w:tab w:val="left" w:pos="2127"/>
        </w:tabs>
        <w:ind w:left="2131" w:hanging="2131"/>
        <w:jc w:val="both"/>
        <w:rPr>
          <w:b/>
          <w:sz w:val="24"/>
        </w:rPr>
      </w:pPr>
      <w:r w:rsidRPr="00603F8C">
        <w:rPr>
          <w:b/>
          <w:sz w:val="24"/>
        </w:rPr>
        <w:t>Source:</w:t>
      </w:r>
      <w:r w:rsidRPr="00603F8C">
        <w:rPr>
          <w:b/>
          <w:sz w:val="24"/>
        </w:rPr>
        <w:tab/>
        <w:t>HEAD acoustics GmbH</w:t>
      </w:r>
    </w:p>
    <w:p w14:paraId="26F5024D" w14:textId="76AF4962" w:rsidR="00736146" w:rsidRPr="00603F8C" w:rsidRDefault="00736146" w:rsidP="00736146">
      <w:pPr>
        <w:tabs>
          <w:tab w:val="left" w:pos="2127"/>
        </w:tabs>
        <w:ind w:left="2131" w:hanging="2131"/>
        <w:jc w:val="both"/>
        <w:rPr>
          <w:b/>
          <w:sz w:val="24"/>
          <w:lang w:eastAsia="zh-CN"/>
        </w:rPr>
      </w:pPr>
      <w:r w:rsidRPr="00603F8C">
        <w:rPr>
          <w:b/>
          <w:sz w:val="24"/>
        </w:rPr>
        <w:t>Title:</w:t>
      </w:r>
      <w:r w:rsidRPr="00603F8C">
        <w:rPr>
          <w:b/>
          <w:sz w:val="24"/>
        </w:rPr>
        <w:tab/>
        <w:t>On applicability of vehicle hands-free UE</w:t>
      </w:r>
    </w:p>
    <w:p w14:paraId="20661EA3" w14:textId="77777777" w:rsidR="00736146" w:rsidRPr="00603F8C" w:rsidRDefault="00736146" w:rsidP="00736146">
      <w:pPr>
        <w:pBdr>
          <w:bottom w:val="single" w:sz="12" w:space="1" w:color="auto"/>
        </w:pBdr>
        <w:tabs>
          <w:tab w:val="left" w:pos="2127"/>
        </w:tabs>
        <w:ind w:left="2131" w:hanging="2131"/>
        <w:jc w:val="both"/>
        <w:rPr>
          <w:b/>
          <w:sz w:val="24"/>
        </w:rPr>
      </w:pPr>
      <w:r w:rsidRPr="00603F8C">
        <w:rPr>
          <w:b/>
          <w:sz w:val="24"/>
        </w:rPr>
        <w:t>Document for:</w:t>
      </w:r>
      <w:r w:rsidRPr="00603F8C">
        <w:rPr>
          <w:b/>
          <w:sz w:val="24"/>
        </w:rPr>
        <w:tab/>
        <w:t>Discussion</w:t>
      </w:r>
    </w:p>
    <w:p w14:paraId="08B224D1" w14:textId="77777777" w:rsidR="00736146" w:rsidRPr="00603F8C" w:rsidRDefault="00736146" w:rsidP="00736146"/>
    <w:p w14:paraId="353B11FC" w14:textId="77303D9F" w:rsidR="00736146" w:rsidRPr="00603F8C" w:rsidRDefault="00736146" w:rsidP="00736146">
      <w:pPr>
        <w:pStyle w:val="Heading1"/>
      </w:pPr>
      <w:r w:rsidRPr="00603F8C">
        <w:t>Introduction</w:t>
      </w:r>
    </w:p>
    <w:p w14:paraId="398FEEC2" w14:textId="09E5C2BB" w:rsidR="0020690F" w:rsidRPr="00603F8C" w:rsidRDefault="007C7A8B" w:rsidP="007C7A8B">
      <w:r w:rsidRPr="00603F8C">
        <w:t xml:space="preserve">The eUET work item </w:t>
      </w:r>
      <w:sdt>
        <w:sdtPr>
          <w:id w:val="-2004042825"/>
          <w:citation/>
        </w:sdtPr>
        <w:sdtEndPr/>
        <w:sdtContent>
          <w:r w:rsidRPr="00603F8C">
            <w:fldChar w:fldCharType="begin"/>
          </w:r>
          <w:r w:rsidRPr="00603F8C">
            <w:instrText xml:space="preserve"> CITATION 3GPPSP220610 \l 1031 </w:instrText>
          </w:r>
          <w:r w:rsidRPr="00603F8C">
            <w:fldChar w:fldCharType="separate"/>
          </w:r>
          <w:r w:rsidR="00C01E0C">
            <w:rPr>
              <w:noProof/>
            </w:rPr>
            <w:t>[1]</w:t>
          </w:r>
          <w:r w:rsidRPr="00603F8C">
            <w:fldChar w:fldCharType="end"/>
          </w:r>
        </w:sdtContent>
      </w:sdt>
      <w:r w:rsidRPr="00603F8C">
        <w:t xml:space="preserve"> was approved at SA#96 with the objective</w:t>
      </w:r>
      <w:r w:rsidR="0020690F" w:rsidRPr="00603F8C">
        <w:t>, among other things, to update several clauses in 3GPP TS 26.131 </w:t>
      </w:r>
      <w:sdt>
        <w:sdtPr>
          <w:id w:val="1256246577"/>
          <w:citation/>
        </w:sdtPr>
        <w:sdtEndPr/>
        <w:sdtContent>
          <w:r w:rsidR="0020690F" w:rsidRPr="00603F8C">
            <w:fldChar w:fldCharType="begin"/>
          </w:r>
          <w:r w:rsidR="009A7ECD" w:rsidRPr="00603F8C">
            <w:instrText xml:space="preserve">CITATION 3GPPTS26131v171 \l 1031 </w:instrText>
          </w:r>
          <w:r w:rsidR="0020690F" w:rsidRPr="00603F8C">
            <w:fldChar w:fldCharType="separate"/>
          </w:r>
          <w:r w:rsidR="00C01E0C">
            <w:rPr>
              <w:noProof/>
            </w:rPr>
            <w:t>[2]</w:t>
          </w:r>
          <w:r w:rsidR="0020690F" w:rsidRPr="00603F8C">
            <w:fldChar w:fldCharType="end"/>
          </w:r>
        </w:sdtContent>
      </w:sdt>
      <w:r w:rsidR="0020690F" w:rsidRPr="00603F8C">
        <w:t xml:space="preserve"> on sensitivity/frequency characteristics </w:t>
      </w:r>
      <w:r w:rsidR="009A7ECD" w:rsidRPr="00603F8C">
        <w:t>in sending and receiving for</w:t>
      </w:r>
      <w:r w:rsidR="0020690F" w:rsidRPr="00603F8C">
        <w:t xml:space="preserve"> Headset</w:t>
      </w:r>
      <w:r w:rsidR="00B72952" w:rsidRPr="00603F8C">
        <w:t> </w:t>
      </w:r>
      <w:r w:rsidR="0020690F" w:rsidRPr="00603F8C">
        <w:t>UE, Desktop</w:t>
      </w:r>
      <w:r w:rsidR="009A7ECD" w:rsidRPr="00603F8C">
        <w:t> </w:t>
      </w:r>
      <w:r w:rsidR="0020690F" w:rsidRPr="00603F8C">
        <w:t>UE and vehicle-mounted hands-free</w:t>
      </w:r>
      <w:r w:rsidR="00B72952" w:rsidRPr="00603F8C">
        <w:t> </w:t>
      </w:r>
      <w:r w:rsidR="0020690F" w:rsidRPr="00603F8C">
        <w:t>UE</w:t>
      </w:r>
      <w:r w:rsidR="009A7ECD" w:rsidRPr="00603F8C">
        <w:t>. Several missing frequency masks in SWB will be defined, including a possible review of the related test methods in 3GPP TS 26.132 </w:t>
      </w:r>
      <w:sdt>
        <w:sdtPr>
          <w:id w:val="-570737260"/>
          <w:citation/>
        </w:sdtPr>
        <w:sdtEndPr/>
        <w:sdtContent>
          <w:r w:rsidR="009A7ECD" w:rsidRPr="00603F8C">
            <w:fldChar w:fldCharType="begin"/>
          </w:r>
          <w:r w:rsidR="009A7ECD" w:rsidRPr="00603F8C">
            <w:instrText xml:space="preserve"> CITATION 3GPPTS26132v171 \l 1031 </w:instrText>
          </w:r>
          <w:r w:rsidR="009A7ECD" w:rsidRPr="00603F8C">
            <w:fldChar w:fldCharType="separate"/>
          </w:r>
          <w:r w:rsidR="00C01E0C">
            <w:rPr>
              <w:noProof/>
            </w:rPr>
            <w:t>[3]</w:t>
          </w:r>
          <w:r w:rsidR="009A7ECD" w:rsidRPr="00603F8C">
            <w:fldChar w:fldCharType="end"/>
          </w:r>
        </w:sdtContent>
      </w:sdt>
      <w:r w:rsidR="009A7ECD" w:rsidRPr="00603F8C">
        <w:t>.</w:t>
      </w:r>
    </w:p>
    <w:p w14:paraId="529B7465" w14:textId="484AE1DE" w:rsidR="00703964" w:rsidRPr="00603F8C" w:rsidRDefault="00703964" w:rsidP="00703964">
      <w:pPr>
        <w:pStyle w:val="Heading1"/>
      </w:pPr>
      <w:r w:rsidRPr="00603F8C">
        <w:t>Rationale</w:t>
      </w:r>
    </w:p>
    <w:p w14:paraId="6F204173" w14:textId="3BFE1F65" w:rsidR="00E86508" w:rsidRPr="00603F8C" w:rsidRDefault="00E86508" w:rsidP="00736146">
      <w:r w:rsidRPr="00603F8C">
        <w:t>While planning measurement series to collect frequency response data for the UEs</w:t>
      </w:r>
      <w:r w:rsidR="00671F10" w:rsidRPr="00603F8C">
        <w:t xml:space="preserve"> mentioned above</w:t>
      </w:r>
      <w:r w:rsidRPr="00603F8C">
        <w:t xml:space="preserve">, it was found by the source that </w:t>
      </w:r>
      <w:r w:rsidR="007650E2" w:rsidRPr="00603F8C">
        <w:t>it might be difficult to run tests for vehicle-mounted hands-free (VMHF). TS 26.132 </w:t>
      </w:r>
      <w:sdt>
        <w:sdtPr>
          <w:id w:val="-501430911"/>
          <w:citation/>
        </w:sdtPr>
        <w:sdtEndPr/>
        <w:sdtContent>
          <w:r w:rsidR="007650E2" w:rsidRPr="00603F8C">
            <w:fldChar w:fldCharType="begin"/>
          </w:r>
          <w:r w:rsidR="007650E2" w:rsidRPr="00603F8C">
            <w:instrText xml:space="preserve"> CITATION 3GPPTS26132v171 \l 1031 </w:instrText>
          </w:r>
          <w:r w:rsidR="007650E2" w:rsidRPr="00603F8C">
            <w:fldChar w:fldCharType="separate"/>
          </w:r>
          <w:r w:rsidR="00C01E0C">
            <w:rPr>
              <w:noProof/>
            </w:rPr>
            <w:t>[3]</w:t>
          </w:r>
          <w:r w:rsidR="007650E2" w:rsidRPr="00603F8C">
            <w:fldChar w:fldCharType="end"/>
          </w:r>
        </w:sdtContent>
      </w:sdt>
      <w:r w:rsidR="007650E2" w:rsidRPr="00603F8C">
        <w:t xml:space="preserve"> currently only covers the use case where the hands-free terminal (HFT) in the car has access to the network, i.e., the SIM card is inserted directly into onboard unit. This use case was common when HFTs became standard equipment in </w:t>
      </w:r>
      <w:r w:rsidR="00671F10" w:rsidRPr="00603F8C">
        <w:t>cars but</w:t>
      </w:r>
      <w:r w:rsidR="007650E2" w:rsidRPr="00603F8C">
        <w:t xml:space="preserve"> is </w:t>
      </w:r>
      <w:r w:rsidR="00E9740E" w:rsidRPr="00603F8C">
        <w:t xml:space="preserve">quite </w:t>
      </w:r>
      <w:r w:rsidR="007650E2" w:rsidRPr="00603F8C">
        <w:t>rare these days</w:t>
      </w:r>
      <w:r w:rsidR="00E9740E" w:rsidRPr="00603F8C">
        <w:t>.</w:t>
      </w:r>
    </w:p>
    <w:p w14:paraId="6243776E" w14:textId="43045CA5" w:rsidR="00BD7959" w:rsidRPr="00603F8C" w:rsidRDefault="00BD7959" w:rsidP="00736146">
      <w:r w:rsidRPr="00603F8C">
        <w:t>For testing VMHF terminals nowadays, it is much more common in the industry to apply the following ITU-T Recommendations, which are available for all bandwidt</w:t>
      </w:r>
      <w:r w:rsidR="004C6046" w:rsidRPr="00603F8C">
        <w:t>hs</w:t>
      </w:r>
      <w:r w:rsidRPr="00603F8C">
        <w:t>:</w:t>
      </w:r>
    </w:p>
    <w:p w14:paraId="18EAB85D" w14:textId="78F5F596" w:rsidR="00BD7959" w:rsidRPr="000B3CCA" w:rsidRDefault="00BD7959" w:rsidP="00BD7959">
      <w:pPr>
        <w:pStyle w:val="ListParagraph"/>
        <w:numPr>
          <w:ilvl w:val="0"/>
          <w:numId w:val="3"/>
        </w:numPr>
        <w:rPr>
          <w:sz w:val="20"/>
          <w:szCs w:val="20"/>
          <w:lang w:val="en-GB"/>
        </w:rPr>
      </w:pPr>
      <w:r w:rsidRPr="000B3CCA">
        <w:rPr>
          <w:sz w:val="20"/>
          <w:szCs w:val="20"/>
          <w:lang w:val="en-GB"/>
        </w:rPr>
        <w:t>NB: Recommendation ITU-T P.1100 </w:t>
      </w:r>
      <w:sdt>
        <w:sdtPr>
          <w:rPr>
            <w:sz w:val="20"/>
            <w:szCs w:val="20"/>
            <w:lang w:val="en-GB"/>
          </w:rPr>
          <w:id w:val="1554429300"/>
          <w:citation/>
        </w:sdtPr>
        <w:sdtEndPr/>
        <w:sdtContent>
          <w:r w:rsidRPr="000B3CCA">
            <w:rPr>
              <w:sz w:val="20"/>
              <w:szCs w:val="20"/>
              <w:lang w:val="en-GB"/>
            </w:rPr>
            <w:fldChar w:fldCharType="begin"/>
          </w:r>
          <w:r w:rsidRPr="000B3CCA">
            <w:rPr>
              <w:sz w:val="20"/>
              <w:szCs w:val="20"/>
              <w:lang w:val="en-GB"/>
            </w:rPr>
            <w:instrText xml:space="preserve"> CITATION ITU_T_P1100_01_2019 \l 1031 </w:instrText>
          </w:r>
          <w:r w:rsidRPr="000B3CCA">
            <w:rPr>
              <w:sz w:val="20"/>
              <w:szCs w:val="20"/>
              <w:lang w:val="en-GB"/>
            </w:rPr>
            <w:fldChar w:fldCharType="separate"/>
          </w:r>
          <w:r w:rsidR="00C01E0C" w:rsidRPr="00C01E0C">
            <w:rPr>
              <w:noProof/>
              <w:sz w:val="20"/>
              <w:szCs w:val="20"/>
              <w:lang w:val="en-GB"/>
            </w:rPr>
            <w:t>[4]</w:t>
          </w:r>
          <w:r w:rsidRPr="000B3CCA">
            <w:rPr>
              <w:sz w:val="20"/>
              <w:szCs w:val="20"/>
              <w:lang w:val="en-GB"/>
            </w:rPr>
            <w:fldChar w:fldCharType="end"/>
          </w:r>
        </w:sdtContent>
      </w:sdt>
    </w:p>
    <w:p w14:paraId="569893F6" w14:textId="72373264" w:rsidR="00BD7959" w:rsidRPr="000B3CCA" w:rsidRDefault="00BD7959" w:rsidP="00BD7959">
      <w:pPr>
        <w:pStyle w:val="ListParagraph"/>
        <w:numPr>
          <w:ilvl w:val="0"/>
          <w:numId w:val="3"/>
        </w:numPr>
        <w:rPr>
          <w:sz w:val="20"/>
          <w:szCs w:val="20"/>
          <w:lang w:val="en-GB"/>
        </w:rPr>
      </w:pPr>
      <w:r w:rsidRPr="000B3CCA">
        <w:rPr>
          <w:sz w:val="20"/>
          <w:szCs w:val="20"/>
          <w:lang w:val="en-GB"/>
        </w:rPr>
        <w:t>WB: Recommendation ITU-T P.1110 </w:t>
      </w:r>
      <w:sdt>
        <w:sdtPr>
          <w:rPr>
            <w:sz w:val="20"/>
            <w:szCs w:val="20"/>
            <w:lang w:val="en-GB"/>
          </w:rPr>
          <w:id w:val="1229959916"/>
          <w:citation/>
        </w:sdtPr>
        <w:sdtEndPr/>
        <w:sdtContent>
          <w:r w:rsidRPr="000B3CCA">
            <w:rPr>
              <w:sz w:val="20"/>
              <w:szCs w:val="20"/>
              <w:lang w:val="en-GB"/>
            </w:rPr>
            <w:fldChar w:fldCharType="begin"/>
          </w:r>
          <w:r w:rsidRPr="000B3CCA">
            <w:rPr>
              <w:sz w:val="20"/>
              <w:szCs w:val="20"/>
              <w:lang w:val="en-GB"/>
            </w:rPr>
            <w:instrText xml:space="preserve"> CITATION ITUT_P1110_01_2019 \l 1031 </w:instrText>
          </w:r>
          <w:r w:rsidRPr="000B3CCA">
            <w:rPr>
              <w:sz w:val="20"/>
              <w:szCs w:val="20"/>
              <w:lang w:val="en-GB"/>
            </w:rPr>
            <w:fldChar w:fldCharType="separate"/>
          </w:r>
          <w:r w:rsidR="00C01E0C" w:rsidRPr="00C01E0C">
            <w:rPr>
              <w:noProof/>
              <w:sz w:val="20"/>
              <w:szCs w:val="20"/>
              <w:lang w:val="en-GB"/>
            </w:rPr>
            <w:t>[5]</w:t>
          </w:r>
          <w:r w:rsidRPr="000B3CCA">
            <w:rPr>
              <w:sz w:val="20"/>
              <w:szCs w:val="20"/>
              <w:lang w:val="en-GB"/>
            </w:rPr>
            <w:fldChar w:fldCharType="end"/>
          </w:r>
        </w:sdtContent>
      </w:sdt>
    </w:p>
    <w:p w14:paraId="4C9BFDEE" w14:textId="0743EF2C" w:rsidR="00BD7959" w:rsidRPr="000B3CCA" w:rsidRDefault="00BD7959" w:rsidP="00BD7959">
      <w:pPr>
        <w:pStyle w:val="ListParagraph"/>
        <w:numPr>
          <w:ilvl w:val="0"/>
          <w:numId w:val="3"/>
        </w:numPr>
        <w:rPr>
          <w:sz w:val="21"/>
          <w:szCs w:val="21"/>
          <w:lang w:val="en-GB"/>
        </w:rPr>
      </w:pPr>
      <w:r w:rsidRPr="000B3CCA">
        <w:rPr>
          <w:sz w:val="20"/>
          <w:szCs w:val="20"/>
          <w:lang w:val="en-GB"/>
        </w:rPr>
        <w:t>SWB and FB: Recommendation ITU-T P.1120 </w:t>
      </w:r>
      <w:sdt>
        <w:sdtPr>
          <w:rPr>
            <w:sz w:val="20"/>
            <w:szCs w:val="20"/>
            <w:lang w:val="en-GB"/>
          </w:rPr>
          <w:id w:val="-669791245"/>
          <w:citation/>
        </w:sdtPr>
        <w:sdtEndPr/>
        <w:sdtContent>
          <w:r w:rsidRPr="000B3CCA">
            <w:rPr>
              <w:sz w:val="20"/>
              <w:szCs w:val="20"/>
              <w:lang w:val="en-GB"/>
            </w:rPr>
            <w:fldChar w:fldCharType="begin"/>
          </w:r>
          <w:r w:rsidRPr="000B3CCA">
            <w:rPr>
              <w:sz w:val="20"/>
              <w:szCs w:val="20"/>
              <w:lang w:val="en-GB"/>
            </w:rPr>
            <w:instrText xml:space="preserve"> CITATION ITUT_P1120_03_2017 \l 1031 </w:instrText>
          </w:r>
          <w:r w:rsidRPr="000B3CCA">
            <w:rPr>
              <w:sz w:val="20"/>
              <w:szCs w:val="20"/>
              <w:lang w:val="en-GB"/>
            </w:rPr>
            <w:fldChar w:fldCharType="separate"/>
          </w:r>
          <w:r w:rsidR="00C01E0C" w:rsidRPr="00C01E0C">
            <w:rPr>
              <w:noProof/>
              <w:sz w:val="20"/>
              <w:szCs w:val="20"/>
              <w:lang w:val="en-GB"/>
            </w:rPr>
            <w:t>[6]</w:t>
          </w:r>
          <w:r w:rsidRPr="000B3CCA">
            <w:rPr>
              <w:sz w:val="20"/>
              <w:szCs w:val="20"/>
              <w:lang w:val="en-GB"/>
            </w:rPr>
            <w:fldChar w:fldCharType="end"/>
          </w:r>
        </w:sdtContent>
      </w:sdt>
      <w:r w:rsidR="00671F10" w:rsidRPr="000B3CCA">
        <w:rPr>
          <w:sz w:val="21"/>
          <w:szCs w:val="21"/>
          <w:lang w:val="en-GB"/>
        </w:rPr>
        <w:br/>
      </w:r>
    </w:p>
    <w:p w14:paraId="39BEDC15" w14:textId="67D8EB92" w:rsidR="009A7ECD" w:rsidRPr="00603F8C" w:rsidRDefault="00703964" w:rsidP="00736146">
      <w:r w:rsidRPr="00603F8C">
        <w:t xml:space="preserve">Test methods and requirements </w:t>
      </w:r>
      <w:r w:rsidR="00671F10" w:rsidRPr="00603F8C">
        <w:t xml:space="preserve">specified in these documents cover all relevant </w:t>
      </w:r>
      <w:r w:rsidRPr="00603F8C">
        <w:t>use cases of VMHF</w:t>
      </w:r>
      <w:r w:rsidR="00671F10" w:rsidRPr="00603F8C">
        <w:t>:</w:t>
      </w:r>
    </w:p>
    <w:p w14:paraId="16B791CB" w14:textId="04D36B56" w:rsidR="00703964" w:rsidRPr="000B3CCA" w:rsidRDefault="00703964" w:rsidP="00703964">
      <w:pPr>
        <w:pStyle w:val="ListParagraph"/>
        <w:numPr>
          <w:ilvl w:val="0"/>
          <w:numId w:val="2"/>
        </w:numPr>
        <w:rPr>
          <w:sz w:val="20"/>
          <w:szCs w:val="20"/>
          <w:lang w:val="en-GB"/>
        </w:rPr>
      </w:pPr>
      <w:r w:rsidRPr="000B3CCA">
        <w:rPr>
          <w:sz w:val="20"/>
          <w:szCs w:val="20"/>
          <w:lang w:val="en-GB"/>
        </w:rPr>
        <w:t>HFT has direct access to SIM card and network</w:t>
      </w:r>
      <w:r w:rsidR="00671F10" w:rsidRPr="000B3CCA">
        <w:rPr>
          <w:sz w:val="20"/>
          <w:szCs w:val="20"/>
          <w:lang w:val="en-GB"/>
        </w:rPr>
        <w:t xml:space="preserve"> (same as in TS 26.131/132)</w:t>
      </w:r>
    </w:p>
    <w:p w14:paraId="3B432B5C" w14:textId="287BB1FD" w:rsidR="00703964" w:rsidRPr="000B3CCA" w:rsidRDefault="00703964" w:rsidP="00703964">
      <w:pPr>
        <w:pStyle w:val="ListParagraph"/>
        <w:numPr>
          <w:ilvl w:val="0"/>
          <w:numId w:val="2"/>
        </w:numPr>
        <w:rPr>
          <w:sz w:val="20"/>
          <w:szCs w:val="20"/>
          <w:lang w:val="en-GB"/>
        </w:rPr>
      </w:pPr>
      <w:r w:rsidRPr="000B3CCA">
        <w:rPr>
          <w:sz w:val="20"/>
          <w:szCs w:val="20"/>
          <w:lang w:val="en-GB"/>
        </w:rPr>
        <w:t>HFT is tested only with short-range wireless (e.g., Bluetooth)</w:t>
      </w:r>
      <w:r w:rsidR="00671F10" w:rsidRPr="000B3CCA">
        <w:rPr>
          <w:sz w:val="20"/>
          <w:szCs w:val="20"/>
          <w:lang w:val="en-GB"/>
        </w:rPr>
        <w:t>, without mobile network access</w:t>
      </w:r>
    </w:p>
    <w:p w14:paraId="3F245449" w14:textId="3D5A42FE" w:rsidR="00703964" w:rsidRPr="000B3CCA" w:rsidRDefault="00703964" w:rsidP="00703964">
      <w:pPr>
        <w:pStyle w:val="ListParagraph"/>
        <w:numPr>
          <w:ilvl w:val="0"/>
          <w:numId w:val="2"/>
        </w:numPr>
        <w:rPr>
          <w:sz w:val="20"/>
          <w:szCs w:val="20"/>
          <w:lang w:val="en-GB"/>
        </w:rPr>
      </w:pPr>
      <w:r w:rsidRPr="000B3CCA">
        <w:rPr>
          <w:sz w:val="20"/>
          <w:szCs w:val="20"/>
          <w:lang w:val="en-GB"/>
        </w:rPr>
        <w:t>HFT is tested with short-range wireless (e.g., Bluetooth) in conjunction with mobile phone</w:t>
      </w:r>
      <w:r w:rsidR="00671F10" w:rsidRPr="000B3CCA">
        <w:rPr>
          <w:sz w:val="20"/>
          <w:szCs w:val="20"/>
          <w:lang w:val="en-GB"/>
        </w:rPr>
        <w:t>/network</w:t>
      </w:r>
      <w:r w:rsidR="00671F10" w:rsidRPr="000B3CCA">
        <w:rPr>
          <w:sz w:val="20"/>
          <w:szCs w:val="20"/>
          <w:lang w:val="en-GB"/>
        </w:rPr>
        <w:br/>
      </w:r>
    </w:p>
    <w:p w14:paraId="19C05DE7" w14:textId="05F8BE55" w:rsidR="00671F10" w:rsidRPr="00603F8C" w:rsidRDefault="00E86508" w:rsidP="00703964">
      <w:r w:rsidRPr="00603F8C">
        <w:t>The latter case is certainly the most common use case nowadays but is not covered by TS 26.132 </w:t>
      </w:r>
      <w:sdt>
        <w:sdtPr>
          <w:id w:val="-898430137"/>
          <w:citation/>
        </w:sdtPr>
        <w:sdtEndPr/>
        <w:sdtContent>
          <w:r w:rsidRPr="00603F8C">
            <w:fldChar w:fldCharType="begin"/>
          </w:r>
          <w:r w:rsidRPr="00603F8C">
            <w:instrText xml:space="preserve"> CITATION 3GPPTS26132v171 \l 1031 </w:instrText>
          </w:r>
          <w:r w:rsidRPr="00603F8C">
            <w:fldChar w:fldCharType="separate"/>
          </w:r>
          <w:r w:rsidR="00C01E0C">
            <w:rPr>
              <w:noProof/>
            </w:rPr>
            <w:t>[3]</w:t>
          </w:r>
          <w:r w:rsidRPr="00603F8C">
            <w:fldChar w:fldCharType="end"/>
          </w:r>
        </w:sdtContent>
      </w:sdt>
      <w:r w:rsidRPr="00603F8C">
        <w:t>.</w:t>
      </w:r>
      <w:r w:rsidR="002C5667" w:rsidRPr="00603F8C">
        <w:t xml:space="preserve"> In consequence, currently specified test methods and requirements for VMHF UE are </w:t>
      </w:r>
      <w:r w:rsidR="00BD4982" w:rsidRPr="00603F8C">
        <w:t>somewhat "</w:t>
      </w:r>
      <w:r w:rsidR="000B7ED3" w:rsidRPr="00603F8C">
        <w:t>out of place</w:t>
      </w:r>
      <w:r w:rsidR="00BD4982" w:rsidRPr="00603F8C">
        <w:t>"</w:t>
      </w:r>
      <w:r w:rsidR="008D0740" w:rsidRPr="00603F8C">
        <w:t xml:space="preserve">, </w:t>
      </w:r>
      <w:r w:rsidR="000B7ED3" w:rsidRPr="00603F8C">
        <w:t>since</w:t>
      </w:r>
      <w:r w:rsidR="002C5667" w:rsidRPr="00603F8C">
        <w:t xml:space="preserve"> all other </w:t>
      </w:r>
      <w:r w:rsidR="00BD4982" w:rsidRPr="00603F8C">
        <w:t xml:space="preserve">types of </w:t>
      </w:r>
      <w:r w:rsidR="002C5667" w:rsidRPr="00603F8C">
        <w:t xml:space="preserve">UE can be </w:t>
      </w:r>
      <w:r w:rsidR="004C6046" w:rsidRPr="00603F8C">
        <w:t>evaluated</w:t>
      </w:r>
      <w:r w:rsidR="002C5667" w:rsidRPr="00603F8C">
        <w:t xml:space="preserve"> with a </w:t>
      </w:r>
      <w:r w:rsidR="003E0038" w:rsidRPr="00603F8C">
        <w:t xml:space="preserve">single </w:t>
      </w:r>
      <w:r w:rsidR="00BD4982" w:rsidRPr="00603F8C">
        <w:t>mobile phone</w:t>
      </w:r>
      <w:r w:rsidR="008D0740" w:rsidRPr="00603F8C">
        <w:t>:</w:t>
      </w:r>
      <w:r w:rsidR="002C5667" w:rsidRPr="00603F8C">
        <w:t xml:space="preserve"> </w:t>
      </w:r>
      <w:r w:rsidR="008D0740" w:rsidRPr="00603F8C">
        <w:t>E</w:t>
      </w:r>
      <w:r w:rsidR="002C5667" w:rsidRPr="00603F8C">
        <w:t>ither stand-alone (handset, handheld hands-free</w:t>
      </w:r>
      <w:r w:rsidR="004C6046" w:rsidRPr="00603F8C">
        <w:t>, desktop hands-free</w:t>
      </w:r>
      <w:r w:rsidR="008D5175" w:rsidRPr="00603F8C">
        <w:t>, electrical interface</w:t>
      </w:r>
      <w:r w:rsidR="002C5667" w:rsidRPr="00603F8C">
        <w:t xml:space="preserve">) </w:t>
      </w:r>
      <w:r w:rsidR="004C6046" w:rsidRPr="00603F8C">
        <w:t>and/</w:t>
      </w:r>
      <w:r w:rsidR="002C5667" w:rsidRPr="00603F8C">
        <w:t xml:space="preserve">or with </w:t>
      </w:r>
      <w:r w:rsidR="004C6046" w:rsidRPr="00603F8C">
        <w:t>external</w:t>
      </w:r>
      <w:r w:rsidR="00BD4982" w:rsidRPr="00603F8C">
        <w:t>ly connected</w:t>
      </w:r>
      <w:r w:rsidR="004C6046" w:rsidRPr="00603F8C">
        <w:t xml:space="preserve"> equipment (headset, desktop hands-free)</w:t>
      </w:r>
      <w:r w:rsidR="00B718C5" w:rsidRPr="00603F8C">
        <w:t>.</w:t>
      </w:r>
    </w:p>
    <w:p w14:paraId="4C816C4A" w14:textId="460A73D8" w:rsidR="00E86508" w:rsidRPr="00603F8C" w:rsidRDefault="00E86508" w:rsidP="00E86508">
      <w:pPr>
        <w:pStyle w:val="Heading1"/>
      </w:pPr>
      <w:r w:rsidRPr="00603F8C">
        <w:t>Conclusion</w:t>
      </w:r>
    </w:p>
    <w:p w14:paraId="4FD1F425" w14:textId="753C28FC" w:rsidR="00E86508" w:rsidRPr="00603F8C" w:rsidRDefault="00E86508" w:rsidP="00703964">
      <w:r w:rsidRPr="00603F8C">
        <w:t xml:space="preserve">Considering the </w:t>
      </w:r>
      <w:r w:rsidR="004C6046" w:rsidRPr="00603F8C">
        <w:t xml:space="preserve">facts </w:t>
      </w:r>
      <w:r w:rsidR="00B72952" w:rsidRPr="00603F8C">
        <w:t xml:space="preserve">mentioned </w:t>
      </w:r>
      <w:r w:rsidRPr="00603F8C">
        <w:t xml:space="preserve">above, it </w:t>
      </w:r>
      <w:r w:rsidR="004C6046" w:rsidRPr="00603F8C">
        <w:t xml:space="preserve">might </w:t>
      </w:r>
      <w:r w:rsidRPr="00603F8C">
        <w:t xml:space="preserve">be </w:t>
      </w:r>
      <w:r w:rsidR="005301C3" w:rsidRPr="00603F8C">
        <w:t xml:space="preserve">reasonable </w:t>
      </w:r>
      <w:r w:rsidRPr="00603F8C">
        <w:t xml:space="preserve">to remove </w:t>
      </w:r>
      <w:r w:rsidR="004C6046" w:rsidRPr="00603F8C">
        <w:t>the vehicle-mounted hands-free UE from TS 26.131 and TS 26.132 a</w:t>
      </w:r>
      <w:r w:rsidRPr="00603F8C">
        <w:t>s part of the work item eUET.</w:t>
      </w:r>
      <w:r w:rsidR="004C6046" w:rsidRPr="00603F8C">
        <w:t xml:space="preserve"> Instead, a reference to the Recommendations from ITU-T could be made, as these are regularly </w:t>
      </w:r>
      <w:r w:rsidR="00B718C5" w:rsidRPr="00603F8C">
        <w:t>maintained and widely used in the industry.</w:t>
      </w:r>
    </w:p>
    <w:p w14:paraId="1A60702D" w14:textId="505EB861" w:rsidR="00E86508" w:rsidRPr="00603F8C" w:rsidRDefault="00B718C5" w:rsidP="00703964">
      <w:r w:rsidRPr="00603F8C">
        <w:t>The source is</w:t>
      </w:r>
      <w:r w:rsidR="008D1C63" w:rsidRPr="00603F8C">
        <w:t xml:space="preserve"> also not aware of any widespread use of VMHF UE.</w:t>
      </w:r>
      <w:r w:rsidRPr="00603F8C">
        <w:t xml:space="preserve"> </w:t>
      </w:r>
      <w:r w:rsidR="00E86508" w:rsidRPr="00603F8C">
        <w:t xml:space="preserve">However, before </w:t>
      </w:r>
      <w:r w:rsidR="00B72952" w:rsidRPr="00603F8C">
        <w:t xml:space="preserve">formally </w:t>
      </w:r>
      <w:r w:rsidR="00E86508" w:rsidRPr="00603F8C">
        <w:t xml:space="preserve">proposing any removal of corresponding text, the source would like to discuss </w:t>
      </w:r>
      <w:r w:rsidR="008D1C63" w:rsidRPr="00603F8C">
        <w:t xml:space="preserve">with the group first and collect </w:t>
      </w:r>
      <w:r w:rsidR="005301C3" w:rsidRPr="00603F8C">
        <w:t xml:space="preserve">other </w:t>
      </w:r>
      <w:r w:rsidR="008D1C63" w:rsidRPr="00603F8C">
        <w:t>views on this topic.</w:t>
      </w:r>
    </w:p>
    <w:p w14:paraId="1238815B" w14:textId="77777777" w:rsidR="00BD7959" w:rsidRPr="00603F8C" w:rsidRDefault="00BD7959">
      <w:pPr>
        <w:overflowPunct/>
        <w:autoSpaceDE/>
        <w:autoSpaceDN/>
        <w:adjustRightInd/>
        <w:spacing w:after="0"/>
        <w:textAlignment w:val="auto"/>
        <w:rPr>
          <w:rFonts w:ascii="Arial" w:hAnsi="Arial"/>
          <w:sz w:val="36"/>
        </w:rPr>
      </w:pPr>
      <w:r w:rsidRPr="00603F8C">
        <w:br w:type="page"/>
      </w:r>
    </w:p>
    <w:p w14:paraId="278C87F6" w14:textId="2B8B1885" w:rsidR="00736146" w:rsidRPr="00603F8C" w:rsidRDefault="00736146" w:rsidP="00736146">
      <w:pPr>
        <w:pStyle w:val="Heading1"/>
      </w:pPr>
      <w:r w:rsidRPr="00603F8C">
        <w:lastRenderedPageBreak/>
        <w:t>References</w:t>
      </w:r>
    </w:p>
    <w:p w14:paraId="7235CE5A" w14:textId="77777777" w:rsidR="00C01E0C" w:rsidRDefault="007C7A8B" w:rsidP="001C6466">
      <w:pPr>
        <w:rPr>
          <w:rFonts w:ascii="CG Times (WN)" w:hAnsi="CG Times (WN)"/>
          <w:noProof/>
          <w:lang w:val="en-US"/>
        </w:rPr>
      </w:pPr>
      <w:r w:rsidRPr="00603F8C">
        <w:fldChar w:fldCharType="begin"/>
      </w:r>
      <w:r w:rsidRPr="00603F8C">
        <w:instrText xml:space="preserve"> BIBLIOGRAPHY  \l 1031 </w:instrText>
      </w:r>
      <w:r w:rsidRPr="00603F8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C01E0C" w14:paraId="52978F5C" w14:textId="77777777">
        <w:trPr>
          <w:divId w:val="699748750"/>
          <w:tblCellSpacing w:w="15" w:type="dxa"/>
        </w:trPr>
        <w:tc>
          <w:tcPr>
            <w:tcW w:w="50" w:type="pct"/>
            <w:hideMark/>
          </w:tcPr>
          <w:p w14:paraId="605455E6" w14:textId="780851C4" w:rsidR="00C01E0C" w:rsidRDefault="00C01E0C">
            <w:pPr>
              <w:pStyle w:val="Bibliography"/>
              <w:rPr>
                <w:noProof/>
                <w:sz w:val="24"/>
                <w:szCs w:val="24"/>
                <w:lang w:val="de-DE"/>
              </w:rPr>
            </w:pPr>
            <w:r>
              <w:rPr>
                <w:noProof/>
                <w:lang w:val="de-DE"/>
              </w:rPr>
              <w:t xml:space="preserve">[1] </w:t>
            </w:r>
          </w:p>
        </w:tc>
        <w:tc>
          <w:tcPr>
            <w:tcW w:w="0" w:type="auto"/>
            <w:hideMark/>
          </w:tcPr>
          <w:p w14:paraId="1E703B16" w14:textId="77777777" w:rsidR="00C01E0C" w:rsidRDefault="00C01E0C">
            <w:pPr>
              <w:pStyle w:val="Bibliography"/>
              <w:rPr>
                <w:noProof/>
                <w:lang w:val="de-DE"/>
              </w:rPr>
            </w:pPr>
            <w:r>
              <w:rPr>
                <w:noProof/>
                <w:lang w:val="de-DE"/>
              </w:rPr>
              <w:t>3GPP SP-220610, „New WID on Enhancements to UE Testing,“ Orange, HEAD acoustics GmbH, Fraunhofer IIS, ROHDE &amp; SCHWARZ, Amazon, 2022.</w:t>
            </w:r>
          </w:p>
        </w:tc>
      </w:tr>
      <w:tr w:rsidR="00C01E0C" w14:paraId="1635ACF6" w14:textId="77777777">
        <w:trPr>
          <w:divId w:val="699748750"/>
          <w:tblCellSpacing w:w="15" w:type="dxa"/>
        </w:trPr>
        <w:tc>
          <w:tcPr>
            <w:tcW w:w="50" w:type="pct"/>
            <w:hideMark/>
          </w:tcPr>
          <w:p w14:paraId="1B63AA7E" w14:textId="77777777" w:rsidR="00C01E0C" w:rsidRDefault="00C01E0C">
            <w:pPr>
              <w:pStyle w:val="Bibliography"/>
              <w:rPr>
                <w:noProof/>
                <w:lang w:val="de-DE"/>
              </w:rPr>
            </w:pPr>
            <w:r>
              <w:rPr>
                <w:noProof/>
                <w:lang w:val="de-DE"/>
              </w:rPr>
              <w:t xml:space="preserve">[2] </w:t>
            </w:r>
          </w:p>
        </w:tc>
        <w:tc>
          <w:tcPr>
            <w:tcW w:w="0" w:type="auto"/>
            <w:hideMark/>
          </w:tcPr>
          <w:p w14:paraId="59907718" w14:textId="77777777" w:rsidR="00C01E0C" w:rsidRDefault="00C01E0C">
            <w:pPr>
              <w:pStyle w:val="Bibliography"/>
              <w:rPr>
                <w:noProof/>
                <w:lang w:val="de-DE"/>
              </w:rPr>
            </w:pPr>
            <w:r>
              <w:rPr>
                <w:noProof/>
                <w:lang w:val="de-DE"/>
              </w:rPr>
              <w:t>3GPP TS 26.131, „Terminal acoustic characteristics for telephony; Requirements,“ Release-17.1.</w:t>
            </w:r>
          </w:p>
        </w:tc>
      </w:tr>
      <w:tr w:rsidR="00C01E0C" w14:paraId="5B4BD5C5" w14:textId="77777777">
        <w:trPr>
          <w:divId w:val="699748750"/>
          <w:tblCellSpacing w:w="15" w:type="dxa"/>
        </w:trPr>
        <w:tc>
          <w:tcPr>
            <w:tcW w:w="50" w:type="pct"/>
            <w:hideMark/>
          </w:tcPr>
          <w:p w14:paraId="243919A8" w14:textId="77777777" w:rsidR="00C01E0C" w:rsidRDefault="00C01E0C">
            <w:pPr>
              <w:pStyle w:val="Bibliography"/>
              <w:rPr>
                <w:noProof/>
                <w:lang w:val="de-DE"/>
              </w:rPr>
            </w:pPr>
            <w:r>
              <w:rPr>
                <w:noProof/>
                <w:lang w:val="de-DE"/>
              </w:rPr>
              <w:t xml:space="preserve">[3] </w:t>
            </w:r>
          </w:p>
        </w:tc>
        <w:tc>
          <w:tcPr>
            <w:tcW w:w="0" w:type="auto"/>
            <w:hideMark/>
          </w:tcPr>
          <w:p w14:paraId="3D9A1607" w14:textId="77777777" w:rsidR="00C01E0C" w:rsidRDefault="00C01E0C">
            <w:pPr>
              <w:pStyle w:val="Bibliography"/>
              <w:rPr>
                <w:noProof/>
                <w:lang w:val="de-DE"/>
              </w:rPr>
            </w:pPr>
            <w:r>
              <w:rPr>
                <w:noProof/>
                <w:lang w:val="de-DE"/>
              </w:rPr>
              <w:t>3GPP TS 26.132, „Speech and video telephony terminal acoustic test specification,“ Release-17.1.</w:t>
            </w:r>
          </w:p>
        </w:tc>
      </w:tr>
      <w:tr w:rsidR="00C01E0C" w14:paraId="3ABA29FA" w14:textId="77777777">
        <w:trPr>
          <w:divId w:val="699748750"/>
          <w:tblCellSpacing w:w="15" w:type="dxa"/>
        </w:trPr>
        <w:tc>
          <w:tcPr>
            <w:tcW w:w="50" w:type="pct"/>
            <w:hideMark/>
          </w:tcPr>
          <w:p w14:paraId="0754CE7F" w14:textId="77777777" w:rsidR="00C01E0C" w:rsidRDefault="00C01E0C">
            <w:pPr>
              <w:pStyle w:val="Bibliography"/>
              <w:rPr>
                <w:noProof/>
                <w:lang w:val="de-DE"/>
              </w:rPr>
            </w:pPr>
            <w:r>
              <w:rPr>
                <w:noProof/>
                <w:lang w:val="de-DE"/>
              </w:rPr>
              <w:t xml:space="preserve">[4] </w:t>
            </w:r>
          </w:p>
        </w:tc>
        <w:tc>
          <w:tcPr>
            <w:tcW w:w="0" w:type="auto"/>
            <w:hideMark/>
          </w:tcPr>
          <w:p w14:paraId="5B828F23" w14:textId="77777777" w:rsidR="00C01E0C" w:rsidRDefault="00C01E0C">
            <w:pPr>
              <w:pStyle w:val="Bibliography"/>
              <w:rPr>
                <w:noProof/>
                <w:lang w:val="de-DE"/>
              </w:rPr>
            </w:pPr>
            <w:r>
              <w:rPr>
                <w:noProof/>
                <w:lang w:val="de-DE"/>
              </w:rPr>
              <w:t xml:space="preserve">ITU-T Recommendation P.1100, „Narrowband hands-free communication in motor vehicles,“ 01/2019. </w:t>
            </w:r>
          </w:p>
        </w:tc>
      </w:tr>
      <w:tr w:rsidR="00C01E0C" w14:paraId="3DE797B2" w14:textId="77777777">
        <w:trPr>
          <w:divId w:val="699748750"/>
          <w:tblCellSpacing w:w="15" w:type="dxa"/>
        </w:trPr>
        <w:tc>
          <w:tcPr>
            <w:tcW w:w="50" w:type="pct"/>
            <w:hideMark/>
          </w:tcPr>
          <w:p w14:paraId="12E923C1" w14:textId="77777777" w:rsidR="00C01E0C" w:rsidRDefault="00C01E0C">
            <w:pPr>
              <w:pStyle w:val="Bibliography"/>
              <w:rPr>
                <w:noProof/>
                <w:lang w:val="de-DE"/>
              </w:rPr>
            </w:pPr>
            <w:r>
              <w:rPr>
                <w:noProof/>
                <w:lang w:val="de-DE"/>
              </w:rPr>
              <w:t xml:space="preserve">[5] </w:t>
            </w:r>
          </w:p>
        </w:tc>
        <w:tc>
          <w:tcPr>
            <w:tcW w:w="0" w:type="auto"/>
            <w:hideMark/>
          </w:tcPr>
          <w:p w14:paraId="150D64FA" w14:textId="77777777" w:rsidR="00C01E0C" w:rsidRDefault="00C01E0C">
            <w:pPr>
              <w:pStyle w:val="Bibliography"/>
              <w:rPr>
                <w:noProof/>
                <w:lang w:val="de-DE"/>
              </w:rPr>
            </w:pPr>
            <w:r>
              <w:rPr>
                <w:noProof/>
                <w:lang w:val="de-DE"/>
              </w:rPr>
              <w:t xml:space="preserve">ITU-T Recommendation P.1110, „Wideband hands-free communication in motor vehicles,“ 01/2019. </w:t>
            </w:r>
          </w:p>
        </w:tc>
      </w:tr>
      <w:tr w:rsidR="00C01E0C" w14:paraId="6D1047D2" w14:textId="77777777">
        <w:trPr>
          <w:divId w:val="699748750"/>
          <w:tblCellSpacing w:w="15" w:type="dxa"/>
        </w:trPr>
        <w:tc>
          <w:tcPr>
            <w:tcW w:w="50" w:type="pct"/>
            <w:hideMark/>
          </w:tcPr>
          <w:p w14:paraId="78B36F70" w14:textId="77777777" w:rsidR="00C01E0C" w:rsidRDefault="00C01E0C">
            <w:pPr>
              <w:pStyle w:val="Bibliography"/>
              <w:rPr>
                <w:noProof/>
                <w:lang w:val="de-DE"/>
              </w:rPr>
            </w:pPr>
            <w:r>
              <w:rPr>
                <w:noProof/>
                <w:lang w:val="de-DE"/>
              </w:rPr>
              <w:t xml:space="preserve">[6] </w:t>
            </w:r>
          </w:p>
        </w:tc>
        <w:tc>
          <w:tcPr>
            <w:tcW w:w="0" w:type="auto"/>
            <w:hideMark/>
          </w:tcPr>
          <w:p w14:paraId="16C70B7C" w14:textId="77777777" w:rsidR="00C01E0C" w:rsidRDefault="00C01E0C">
            <w:pPr>
              <w:pStyle w:val="Bibliography"/>
              <w:rPr>
                <w:noProof/>
                <w:lang w:val="de-DE"/>
              </w:rPr>
            </w:pPr>
            <w:r>
              <w:rPr>
                <w:noProof/>
                <w:lang w:val="de-DE"/>
              </w:rPr>
              <w:t xml:space="preserve">ITU-T Recommendation P.1120, „Super-wideband and fullband stereo hands-free communication in motor vehicles,“ 03/2017. </w:t>
            </w:r>
          </w:p>
        </w:tc>
      </w:tr>
    </w:tbl>
    <w:p w14:paraId="24A030D6" w14:textId="77777777" w:rsidR="00C01E0C" w:rsidRDefault="00C01E0C">
      <w:pPr>
        <w:divId w:val="699748750"/>
        <w:rPr>
          <w:noProof/>
        </w:rPr>
      </w:pPr>
    </w:p>
    <w:p w14:paraId="6B65E6B2" w14:textId="2874E3D0" w:rsidR="00DA7FD6" w:rsidRPr="00603F8C" w:rsidRDefault="007C7A8B" w:rsidP="001C6466">
      <w:r w:rsidRPr="00603F8C">
        <w:fldChar w:fldCharType="end"/>
      </w:r>
    </w:p>
    <w:sectPr w:rsidR="00DA7FD6" w:rsidRPr="00603F8C">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7BD72" w14:textId="77777777" w:rsidR="00857E9F" w:rsidRDefault="00857E9F">
      <w:pPr>
        <w:spacing w:after="0"/>
      </w:pPr>
      <w:r>
        <w:separator/>
      </w:r>
    </w:p>
  </w:endnote>
  <w:endnote w:type="continuationSeparator" w:id="0">
    <w:p w14:paraId="19491405" w14:textId="77777777" w:rsidR="00857E9F" w:rsidRDefault="00857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71B3" w14:textId="77777777" w:rsidR="00571484" w:rsidRPr="00DA7FD6" w:rsidRDefault="00571484"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92662F">
      <w:rPr>
        <w:rFonts w:ascii="Arial" w:eastAsia="SimSun" w:hAnsi="Arial"/>
        <w:b/>
        <w:noProof/>
        <w:sz w:val="18"/>
      </w:rPr>
      <w:t>1</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92662F">
      <w:rPr>
        <w:rFonts w:ascii="Arial" w:eastAsia="SimSun" w:hAnsi="Arial"/>
        <w:b/>
        <w:noProof/>
        <w:sz w:val="18"/>
      </w:rPr>
      <w:t>1</w:t>
    </w:r>
    <w:r w:rsidRPr="00DA7FD6">
      <w:rPr>
        <w:rFonts w:ascii="Arial" w:eastAsia="SimSun"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EDA96" w14:textId="77777777" w:rsidR="00857E9F" w:rsidRDefault="00857E9F">
      <w:pPr>
        <w:spacing w:after="0"/>
      </w:pPr>
      <w:r>
        <w:separator/>
      </w:r>
    </w:p>
  </w:footnote>
  <w:footnote w:type="continuationSeparator" w:id="0">
    <w:p w14:paraId="52948969" w14:textId="77777777" w:rsidR="00857E9F" w:rsidRDefault="00857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D19AC" w14:textId="77777777" w:rsidR="00571484" w:rsidRDefault="0057148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F85E" w14:textId="34A6DAE5" w:rsidR="00571484" w:rsidRPr="00175F08" w:rsidRDefault="00571484" w:rsidP="00DA7FD6">
    <w:pPr>
      <w:widowControl w:val="0"/>
      <w:tabs>
        <w:tab w:val="right" w:pos="9360"/>
      </w:tabs>
      <w:overflowPunct/>
      <w:autoSpaceDE/>
      <w:autoSpaceDN/>
      <w:adjustRightInd/>
      <w:spacing w:after="0" w:line="240" w:lineRule="atLeast"/>
      <w:textAlignment w:val="auto"/>
      <w:rPr>
        <w:rFonts w:ascii="Arial" w:eastAsia="SimSun" w:hAnsi="Arial" w:cs="Arial"/>
        <w:b/>
        <w:bCs/>
        <w:i/>
        <w:sz w:val="24"/>
        <w:szCs w:val="24"/>
      </w:rPr>
    </w:pPr>
    <w:r w:rsidRPr="00175F08">
      <w:rPr>
        <w:rFonts w:ascii="Arial" w:eastAsia="SimSun" w:hAnsi="Arial" w:cs="Arial"/>
        <w:b/>
        <w:bCs/>
        <w:sz w:val="24"/>
        <w:szCs w:val="24"/>
        <w:lang w:val="en-US"/>
      </w:rPr>
      <w:t>TSG SA4#1</w:t>
    </w:r>
    <w:r w:rsidR="00736146" w:rsidRPr="00175F08">
      <w:rPr>
        <w:rFonts w:ascii="Arial" w:eastAsia="SimSun" w:hAnsi="Arial" w:cs="Arial"/>
        <w:b/>
        <w:bCs/>
        <w:sz w:val="24"/>
        <w:szCs w:val="24"/>
        <w:lang w:val="en-US"/>
      </w:rPr>
      <w:t>20-e</w:t>
    </w:r>
    <w:r w:rsidRPr="00175F08">
      <w:rPr>
        <w:rFonts w:ascii="Arial" w:eastAsia="SimSun" w:hAnsi="Arial" w:cs="Arial"/>
        <w:b/>
        <w:bCs/>
        <w:sz w:val="24"/>
        <w:szCs w:val="24"/>
        <w:lang w:val="en-US"/>
      </w:rPr>
      <w:t xml:space="preserve"> meeting</w:t>
    </w:r>
    <w:r w:rsidRPr="00175F08">
      <w:rPr>
        <w:rFonts w:ascii="Arial" w:eastAsia="SimSun" w:hAnsi="Arial" w:cs="Arial"/>
        <w:b/>
        <w:bCs/>
        <w:i/>
        <w:sz w:val="24"/>
        <w:szCs w:val="24"/>
      </w:rPr>
      <w:tab/>
    </w:r>
    <w:r w:rsidR="00175F08">
      <w:rPr>
        <w:rFonts w:ascii="Arial" w:eastAsia="SimSun" w:hAnsi="Arial" w:cs="Arial"/>
        <w:b/>
        <w:bCs/>
        <w:i/>
        <w:sz w:val="24"/>
        <w:szCs w:val="24"/>
      </w:rPr>
      <w:t>S4-</w:t>
    </w:r>
    <w:r w:rsidR="006A3F9F" w:rsidRPr="006A3F9F">
      <w:rPr>
        <w:rFonts w:ascii="Arial" w:eastAsia="SimSun" w:hAnsi="Arial" w:cs="Arial"/>
        <w:b/>
        <w:bCs/>
        <w:i/>
        <w:sz w:val="24"/>
        <w:szCs w:val="24"/>
      </w:rPr>
      <w:t>221011</w:t>
    </w:r>
  </w:p>
  <w:p w14:paraId="33BCF34F" w14:textId="08B514A4" w:rsidR="00571484" w:rsidRPr="00175F08" w:rsidRDefault="00736146" w:rsidP="00DA7FD6">
    <w:pPr>
      <w:widowControl w:val="0"/>
      <w:tabs>
        <w:tab w:val="right" w:pos="9360"/>
      </w:tabs>
      <w:overflowPunct/>
      <w:autoSpaceDE/>
      <w:autoSpaceDN/>
      <w:adjustRightInd/>
      <w:spacing w:after="0" w:line="240" w:lineRule="atLeast"/>
      <w:textAlignment w:val="auto"/>
      <w:rPr>
        <w:b/>
        <w:bCs/>
        <w:sz w:val="24"/>
        <w:szCs w:val="24"/>
      </w:rPr>
    </w:pPr>
    <w:r w:rsidRPr="00175F08">
      <w:rPr>
        <w:rFonts w:ascii="Arial" w:eastAsia="SimSun" w:hAnsi="Arial" w:cs="Arial"/>
        <w:b/>
        <w:bCs/>
        <w:sz w:val="24"/>
        <w:szCs w:val="24"/>
        <w:lang w:val="en-US"/>
      </w:rPr>
      <w:t xml:space="preserve">Ad hoc, Online, </w:t>
    </w:r>
    <w:r w:rsidR="00571484" w:rsidRPr="00175F08">
      <w:rPr>
        <w:rFonts w:ascii="Arial" w:eastAsia="SimSun" w:hAnsi="Arial" w:cs="Arial"/>
        <w:b/>
        <w:bCs/>
        <w:sz w:val="24"/>
        <w:szCs w:val="24"/>
        <w:lang w:val="en-US"/>
      </w:rPr>
      <w:t>1</w:t>
    </w:r>
    <w:r w:rsidR="00790D8B">
      <w:rPr>
        <w:rFonts w:ascii="Arial" w:eastAsia="SimSun" w:hAnsi="Arial" w:cs="Arial"/>
        <w:b/>
        <w:bCs/>
        <w:sz w:val="24"/>
        <w:szCs w:val="24"/>
        <w:lang w:val="en-US"/>
      </w:rPr>
      <w:t>7</w:t>
    </w:r>
    <w:r w:rsidR="00571484" w:rsidRPr="00175F08">
      <w:rPr>
        <w:rFonts w:ascii="Arial" w:eastAsia="SimSun" w:hAnsi="Arial" w:cs="Arial"/>
        <w:b/>
        <w:bCs/>
        <w:sz w:val="24"/>
        <w:szCs w:val="24"/>
        <w:lang w:val="en-US"/>
      </w:rPr>
      <w:t xml:space="preserve"> - </w:t>
    </w:r>
    <w:r w:rsidR="00790D8B">
      <w:rPr>
        <w:rFonts w:ascii="Arial" w:eastAsia="SimSun" w:hAnsi="Arial" w:cs="Arial"/>
        <w:b/>
        <w:bCs/>
        <w:sz w:val="24"/>
        <w:szCs w:val="24"/>
        <w:lang w:val="en-US"/>
      </w:rPr>
      <w:t>26</w:t>
    </w:r>
    <w:r w:rsidR="00571484" w:rsidRPr="00175F08">
      <w:rPr>
        <w:rFonts w:ascii="Arial" w:eastAsia="SimSun" w:hAnsi="Arial" w:cs="Arial"/>
        <w:b/>
        <w:bCs/>
        <w:sz w:val="24"/>
        <w:szCs w:val="24"/>
        <w:lang w:val="en-US"/>
      </w:rPr>
      <w:t xml:space="preserve"> </w:t>
    </w:r>
    <w:r w:rsidR="00F826F2">
      <w:rPr>
        <w:rFonts w:ascii="Arial" w:eastAsia="SimSun" w:hAnsi="Arial" w:cs="Arial"/>
        <w:b/>
        <w:bCs/>
        <w:sz w:val="24"/>
        <w:szCs w:val="24"/>
        <w:lang w:val="en-US"/>
      </w:rPr>
      <w:t>August</w:t>
    </w:r>
    <w:r w:rsidR="00571484" w:rsidRPr="00175F08">
      <w:rPr>
        <w:rFonts w:ascii="Arial" w:eastAsia="SimSun" w:hAnsi="Arial" w:cs="Arial"/>
        <w:b/>
        <w:bCs/>
        <w:sz w:val="24"/>
        <w:szCs w:val="24"/>
        <w:lang w:val="en-US"/>
      </w:rPr>
      <w:t xml:space="preserve"> 20</w:t>
    </w:r>
    <w:r w:rsidRPr="00175F08">
      <w:rPr>
        <w:rFonts w:ascii="Arial" w:eastAsia="SimSun" w:hAnsi="Arial" w:cs="Arial"/>
        <w:b/>
        <w:bCs/>
        <w:sz w:val="24"/>
        <w:szCs w:val="24"/>
        <w:lang w:val="en-US"/>
      </w:rPr>
      <w:t>22</w:t>
    </w:r>
    <w:r w:rsidR="00571484" w:rsidRPr="00175F08">
      <w:rPr>
        <w:rFonts w:ascii="Arial" w:eastAsia="SimSun" w:hAnsi="Arial" w:cs="Arial"/>
        <w:b/>
        <w:b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5C847F58"/>
    <w:multiLevelType w:val="hybridMultilevel"/>
    <w:tmpl w:val="6B1EB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ED32B31"/>
    <w:multiLevelType w:val="hybridMultilevel"/>
    <w:tmpl w:val="7DF45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975762">
    <w:abstractNumId w:val="0"/>
  </w:num>
  <w:num w:numId="2" w16cid:durableId="311525323">
    <w:abstractNumId w:val="1"/>
  </w:num>
  <w:num w:numId="3" w16cid:durableId="577011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hideSpellingErrors/>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D6"/>
    <w:rsid w:val="00063308"/>
    <w:rsid w:val="000B3CCA"/>
    <w:rsid w:val="000B7ED3"/>
    <w:rsid w:val="00175F08"/>
    <w:rsid w:val="001C6466"/>
    <w:rsid w:val="0020690F"/>
    <w:rsid w:val="0021176B"/>
    <w:rsid w:val="00257EEC"/>
    <w:rsid w:val="00267C3D"/>
    <w:rsid w:val="002C5667"/>
    <w:rsid w:val="002F0C8C"/>
    <w:rsid w:val="003E0038"/>
    <w:rsid w:val="004C6046"/>
    <w:rsid w:val="005301C3"/>
    <w:rsid w:val="00571484"/>
    <w:rsid w:val="00603F8C"/>
    <w:rsid w:val="00671F10"/>
    <w:rsid w:val="00693146"/>
    <w:rsid w:val="006A3F9F"/>
    <w:rsid w:val="00703964"/>
    <w:rsid w:val="00722F4A"/>
    <w:rsid w:val="00736146"/>
    <w:rsid w:val="0073756F"/>
    <w:rsid w:val="007650E2"/>
    <w:rsid w:val="00790D8B"/>
    <w:rsid w:val="007C7A8B"/>
    <w:rsid w:val="00857E9F"/>
    <w:rsid w:val="00881E6A"/>
    <w:rsid w:val="008D0740"/>
    <w:rsid w:val="008D1C63"/>
    <w:rsid w:val="008D5175"/>
    <w:rsid w:val="0092662F"/>
    <w:rsid w:val="009A7ECD"/>
    <w:rsid w:val="009B1F9C"/>
    <w:rsid w:val="00A16991"/>
    <w:rsid w:val="00A845B3"/>
    <w:rsid w:val="00B618BF"/>
    <w:rsid w:val="00B718C5"/>
    <w:rsid w:val="00B72952"/>
    <w:rsid w:val="00BD4982"/>
    <w:rsid w:val="00BD7959"/>
    <w:rsid w:val="00C01E0C"/>
    <w:rsid w:val="00DA7FD6"/>
    <w:rsid w:val="00E57D05"/>
    <w:rsid w:val="00E86508"/>
    <w:rsid w:val="00E9740E"/>
    <w:rsid w:val="00F826F2"/>
    <w:rsid w:val="00FA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48599"/>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laceholderText">
    <w:name w:val="Placeholder Text"/>
    <w:basedOn w:val="DefaultParagraphFont"/>
    <w:uiPriority w:val="99"/>
    <w:semiHidden/>
    <w:rsid w:val="00A16991"/>
    <w:rPr>
      <w:color w:val="808080"/>
    </w:rPr>
  </w:style>
  <w:style w:type="paragraph" w:customStyle="1" w:styleId="CRCoverPage">
    <w:name w:val="CR Cover Page"/>
    <w:rsid w:val="00175F08"/>
    <w:pPr>
      <w:spacing w:after="120"/>
    </w:pPr>
    <w:rPr>
      <w:rFonts w:ascii="Arial" w:hAnsi="Arial"/>
      <w:lang w:val="en-GB"/>
    </w:rPr>
  </w:style>
  <w:style w:type="paragraph" w:styleId="ListParagraph">
    <w:name w:val="List Paragraph"/>
    <w:basedOn w:val="Normal"/>
    <w:uiPriority w:val="34"/>
    <w:qFormat/>
    <w:rsid w:val="007C7A8B"/>
    <w:pPr>
      <w:overflowPunct/>
      <w:autoSpaceDE/>
      <w:autoSpaceDN/>
      <w:adjustRightInd/>
      <w:spacing w:after="0"/>
      <w:ind w:left="720"/>
      <w:textAlignment w:val="auto"/>
    </w:pPr>
    <w:rPr>
      <w:rFonts w:eastAsia="Calibri"/>
      <w:sz w:val="24"/>
      <w:szCs w:val="24"/>
      <w:lang w:val="en-US"/>
    </w:rPr>
  </w:style>
  <w:style w:type="paragraph" w:styleId="Bibliography">
    <w:name w:val="Bibliography"/>
    <w:basedOn w:val="Normal"/>
    <w:next w:val="Normal"/>
    <w:uiPriority w:val="37"/>
    <w:unhideWhenUsed/>
    <w:rsid w:val="007C7A8B"/>
  </w:style>
  <w:style w:type="paragraph" w:styleId="Revision">
    <w:name w:val="Revision"/>
    <w:hidden/>
    <w:uiPriority w:val="99"/>
    <w:semiHidden/>
    <w:rsid w:val="00B72952"/>
    <w:rPr>
      <w:rFonts w:ascii="Times New Roman" w:hAnsi="Times New Roman"/>
      <w:lang w:val="en-GB"/>
    </w:rPr>
  </w:style>
  <w:style w:type="character" w:styleId="CommentReference">
    <w:name w:val="annotation reference"/>
    <w:basedOn w:val="DefaultParagraphFont"/>
    <w:uiPriority w:val="99"/>
    <w:semiHidden/>
    <w:unhideWhenUsed/>
    <w:rsid w:val="00B72952"/>
    <w:rPr>
      <w:sz w:val="16"/>
      <w:szCs w:val="16"/>
    </w:rPr>
  </w:style>
  <w:style w:type="paragraph" w:styleId="CommentText">
    <w:name w:val="annotation text"/>
    <w:basedOn w:val="Normal"/>
    <w:link w:val="CommentTextChar"/>
    <w:uiPriority w:val="99"/>
    <w:semiHidden/>
    <w:unhideWhenUsed/>
    <w:rsid w:val="00B72952"/>
  </w:style>
  <w:style w:type="character" w:customStyle="1" w:styleId="CommentTextChar">
    <w:name w:val="Comment Text Char"/>
    <w:basedOn w:val="DefaultParagraphFont"/>
    <w:link w:val="CommentText"/>
    <w:uiPriority w:val="99"/>
    <w:semiHidden/>
    <w:rsid w:val="00B7295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72952"/>
    <w:rPr>
      <w:b/>
      <w:bCs/>
    </w:rPr>
  </w:style>
  <w:style w:type="character" w:customStyle="1" w:styleId="CommentSubjectChar">
    <w:name w:val="Comment Subject Char"/>
    <w:basedOn w:val="CommentTextChar"/>
    <w:link w:val="CommentSubject"/>
    <w:uiPriority w:val="99"/>
    <w:semiHidden/>
    <w:rsid w:val="00B72952"/>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85565">
      <w:bodyDiv w:val="1"/>
      <w:marLeft w:val="0"/>
      <w:marRight w:val="0"/>
      <w:marTop w:val="0"/>
      <w:marBottom w:val="0"/>
      <w:divBdr>
        <w:top w:val="none" w:sz="0" w:space="0" w:color="auto"/>
        <w:left w:val="none" w:sz="0" w:space="0" w:color="auto"/>
        <w:bottom w:val="none" w:sz="0" w:space="0" w:color="auto"/>
        <w:right w:val="none" w:sz="0" w:space="0" w:color="auto"/>
      </w:divBdr>
    </w:div>
    <w:div w:id="184245754">
      <w:bodyDiv w:val="1"/>
      <w:marLeft w:val="0"/>
      <w:marRight w:val="0"/>
      <w:marTop w:val="0"/>
      <w:marBottom w:val="0"/>
      <w:divBdr>
        <w:top w:val="none" w:sz="0" w:space="0" w:color="auto"/>
        <w:left w:val="none" w:sz="0" w:space="0" w:color="auto"/>
        <w:bottom w:val="none" w:sz="0" w:space="0" w:color="auto"/>
        <w:right w:val="none" w:sz="0" w:space="0" w:color="auto"/>
      </w:divBdr>
    </w:div>
    <w:div w:id="214588838">
      <w:bodyDiv w:val="1"/>
      <w:marLeft w:val="0"/>
      <w:marRight w:val="0"/>
      <w:marTop w:val="0"/>
      <w:marBottom w:val="0"/>
      <w:divBdr>
        <w:top w:val="none" w:sz="0" w:space="0" w:color="auto"/>
        <w:left w:val="none" w:sz="0" w:space="0" w:color="auto"/>
        <w:bottom w:val="none" w:sz="0" w:space="0" w:color="auto"/>
        <w:right w:val="none" w:sz="0" w:space="0" w:color="auto"/>
      </w:divBdr>
    </w:div>
    <w:div w:id="261501295">
      <w:bodyDiv w:val="1"/>
      <w:marLeft w:val="0"/>
      <w:marRight w:val="0"/>
      <w:marTop w:val="0"/>
      <w:marBottom w:val="0"/>
      <w:divBdr>
        <w:top w:val="none" w:sz="0" w:space="0" w:color="auto"/>
        <w:left w:val="none" w:sz="0" w:space="0" w:color="auto"/>
        <w:bottom w:val="none" w:sz="0" w:space="0" w:color="auto"/>
        <w:right w:val="none" w:sz="0" w:space="0" w:color="auto"/>
      </w:divBdr>
    </w:div>
    <w:div w:id="326514773">
      <w:bodyDiv w:val="1"/>
      <w:marLeft w:val="0"/>
      <w:marRight w:val="0"/>
      <w:marTop w:val="0"/>
      <w:marBottom w:val="0"/>
      <w:divBdr>
        <w:top w:val="none" w:sz="0" w:space="0" w:color="auto"/>
        <w:left w:val="none" w:sz="0" w:space="0" w:color="auto"/>
        <w:bottom w:val="none" w:sz="0" w:space="0" w:color="auto"/>
        <w:right w:val="none" w:sz="0" w:space="0" w:color="auto"/>
      </w:divBdr>
    </w:div>
    <w:div w:id="615217166">
      <w:bodyDiv w:val="1"/>
      <w:marLeft w:val="0"/>
      <w:marRight w:val="0"/>
      <w:marTop w:val="0"/>
      <w:marBottom w:val="0"/>
      <w:divBdr>
        <w:top w:val="none" w:sz="0" w:space="0" w:color="auto"/>
        <w:left w:val="none" w:sz="0" w:space="0" w:color="auto"/>
        <w:bottom w:val="none" w:sz="0" w:space="0" w:color="auto"/>
        <w:right w:val="none" w:sz="0" w:space="0" w:color="auto"/>
      </w:divBdr>
    </w:div>
    <w:div w:id="684135069">
      <w:bodyDiv w:val="1"/>
      <w:marLeft w:val="0"/>
      <w:marRight w:val="0"/>
      <w:marTop w:val="0"/>
      <w:marBottom w:val="0"/>
      <w:divBdr>
        <w:top w:val="none" w:sz="0" w:space="0" w:color="auto"/>
        <w:left w:val="none" w:sz="0" w:space="0" w:color="auto"/>
        <w:bottom w:val="none" w:sz="0" w:space="0" w:color="auto"/>
        <w:right w:val="none" w:sz="0" w:space="0" w:color="auto"/>
      </w:divBdr>
    </w:div>
    <w:div w:id="699748750">
      <w:bodyDiv w:val="1"/>
      <w:marLeft w:val="0"/>
      <w:marRight w:val="0"/>
      <w:marTop w:val="0"/>
      <w:marBottom w:val="0"/>
      <w:divBdr>
        <w:top w:val="none" w:sz="0" w:space="0" w:color="auto"/>
        <w:left w:val="none" w:sz="0" w:space="0" w:color="auto"/>
        <w:bottom w:val="none" w:sz="0" w:space="0" w:color="auto"/>
        <w:right w:val="none" w:sz="0" w:space="0" w:color="auto"/>
      </w:divBdr>
    </w:div>
    <w:div w:id="711734500">
      <w:bodyDiv w:val="1"/>
      <w:marLeft w:val="0"/>
      <w:marRight w:val="0"/>
      <w:marTop w:val="0"/>
      <w:marBottom w:val="0"/>
      <w:divBdr>
        <w:top w:val="none" w:sz="0" w:space="0" w:color="auto"/>
        <w:left w:val="none" w:sz="0" w:space="0" w:color="auto"/>
        <w:bottom w:val="none" w:sz="0" w:space="0" w:color="auto"/>
        <w:right w:val="none" w:sz="0" w:space="0" w:color="auto"/>
      </w:divBdr>
    </w:div>
    <w:div w:id="869608634">
      <w:bodyDiv w:val="1"/>
      <w:marLeft w:val="0"/>
      <w:marRight w:val="0"/>
      <w:marTop w:val="0"/>
      <w:marBottom w:val="0"/>
      <w:divBdr>
        <w:top w:val="none" w:sz="0" w:space="0" w:color="auto"/>
        <w:left w:val="none" w:sz="0" w:space="0" w:color="auto"/>
        <w:bottom w:val="none" w:sz="0" w:space="0" w:color="auto"/>
        <w:right w:val="none" w:sz="0" w:space="0" w:color="auto"/>
      </w:divBdr>
    </w:div>
    <w:div w:id="900016345">
      <w:bodyDiv w:val="1"/>
      <w:marLeft w:val="0"/>
      <w:marRight w:val="0"/>
      <w:marTop w:val="0"/>
      <w:marBottom w:val="0"/>
      <w:divBdr>
        <w:top w:val="none" w:sz="0" w:space="0" w:color="auto"/>
        <w:left w:val="none" w:sz="0" w:space="0" w:color="auto"/>
        <w:bottom w:val="none" w:sz="0" w:space="0" w:color="auto"/>
        <w:right w:val="none" w:sz="0" w:space="0" w:color="auto"/>
      </w:divBdr>
    </w:div>
    <w:div w:id="983853163">
      <w:bodyDiv w:val="1"/>
      <w:marLeft w:val="0"/>
      <w:marRight w:val="0"/>
      <w:marTop w:val="0"/>
      <w:marBottom w:val="0"/>
      <w:divBdr>
        <w:top w:val="none" w:sz="0" w:space="0" w:color="auto"/>
        <w:left w:val="none" w:sz="0" w:space="0" w:color="auto"/>
        <w:bottom w:val="none" w:sz="0" w:space="0" w:color="auto"/>
        <w:right w:val="none" w:sz="0" w:space="0" w:color="auto"/>
      </w:divBdr>
    </w:div>
    <w:div w:id="1020400988">
      <w:bodyDiv w:val="1"/>
      <w:marLeft w:val="0"/>
      <w:marRight w:val="0"/>
      <w:marTop w:val="0"/>
      <w:marBottom w:val="0"/>
      <w:divBdr>
        <w:top w:val="none" w:sz="0" w:space="0" w:color="auto"/>
        <w:left w:val="none" w:sz="0" w:space="0" w:color="auto"/>
        <w:bottom w:val="none" w:sz="0" w:space="0" w:color="auto"/>
        <w:right w:val="none" w:sz="0" w:space="0" w:color="auto"/>
      </w:divBdr>
    </w:div>
    <w:div w:id="1042556948">
      <w:bodyDiv w:val="1"/>
      <w:marLeft w:val="0"/>
      <w:marRight w:val="0"/>
      <w:marTop w:val="0"/>
      <w:marBottom w:val="0"/>
      <w:divBdr>
        <w:top w:val="none" w:sz="0" w:space="0" w:color="auto"/>
        <w:left w:val="none" w:sz="0" w:space="0" w:color="auto"/>
        <w:bottom w:val="none" w:sz="0" w:space="0" w:color="auto"/>
        <w:right w:val="none" w:sz="0" w:space="0" w:color="auto"/>
      </w:divBdr>
    </w:div>
    <w:div w:id="1051005103">
      <w:bodyDiv w:val="1"/>
      <w:marLeft w:val="0"/>
      <w:marRight w:val="0"/>
      <w:marTop w:val="0"/>
      <w:marBottom w:val="0"/>
      <w:divBdr>
        <w:top w:val="none" w:sz="0" w:space="0" w:color="auto"/>
        <w:left w:val="none" w:sz="0" w:space="0" w:color="auto"/>
        <w:bottom w:val="none" w:sz="0" w:space="0" w:color="auto"/>
        <w:right w:val="none" w:sz="0" w:space="0" w:color="auto"/>
      </w:divBdr>
    </w:div>
    <w:div w:id="1064334587">
      <w:bodyDiv w:val="1"/>
      <w:marLeft w:val="0"/>
      <w:marRight w:val="0"/>
      <w:marTop w:val="0"/>
      <w:marBottom w:val="0"/>
      <w:divBdr>
        <w:top w:val="none" w:sz="0" w:space="0" w:color="auto"/>
        <w:left w:val="none" w:sz="0" w:space="0" w:color="auto"/>
        <w:bottom w:val="none" w:sz="0" w:space="0" w:color="auto"/>
        <w:right w:val="none" w:sz="0" w:space="0" w:color="auto"/>
      </w:divBdr>
    </w:div>
    <w:div w:id="1090464988">
      <w:bodyDiv w:val="1"/>
      <w:marLeft w:val="0"/>
      <w:marRight w:val="0"/>
      <w:marTop w:val="0"/>
      <w:marBottom w:val="0"/>
      <w:divBdr>
        <w:top w:val="none" w:sz="0" w:space="0" w:color="auto"/>
        <w:left w:val="none" w:sz="0" w:space="0" w:color="auto"/>
        <w:bottom w:val="none" w:sz="0" w:space="0" w:color="auto"/>
        <w:right w:val="none" w:sz="0" w:space="0" w:color="auto"/>
      </w:divBdr>
    </w:div>
    <w:div w:id="1124274936">
      <w:bodyDiv w:val="1"/>
      <w:marLeft w:val="0"/>
      <w:marRight w:val="0"/>
      <w:marTop w:val="0"/>
      <w:marBottom w:val="0"/>
      <w:divBdr>
        <w:top w:val="none" w:sz="0" w:space="0" w:color="auto"/>
        <w:left w:val="none" w:sz="0" w:space="0" w:color="auto"/>
        <w:bottom w:val="none" w:sz="0" w:space="0" w:color="auto"/>
        <w:right w:val="none" w:sz="0" w:space="0" w:color="auto"/>
      </w:divBdr>
    </w:div>
    <w:div w:id="1170951282">
      <w:bodyDiv w:val="1"/>
      <w:marLeft w:val="0"/>
      <w:marRight w:val="0"/>
      <w:marTop w:val="0"/>
      <w:marBottom w:val="0"/>
      <w:divBdr>
        <w:top w:val="none" w:sz="0" w:space="0" w:color="auto"/>
        <w:left w:val="none" w:sz="0" w:space="0" w:color="auto"/>
        <w:bottom w:val="none" w:sz="0" w:space="0" w:color="auto"/>
        <w:right w:val="none" w:sz="0" w:space="0" w:color="auto"/>
      </w:divBdr>
    </w:div>
    <w:div w:id="1194001127">
      <w:bodyDiv w:val="1"/>
      <w:marLeft w:val="0"/>
      <w:marRight w:val="0"/>
      <w:marTop w:val="0"/>
      <w:marBottom w:val="0"/>
      <w:divBdr>
        <w:top w:val="none" w:sz="0" w:space="0" w:color="auto"/>
        <w:left w:val="none" w:sz="0" w:space="0" w:color="auto"/>
        <w:bottom w:val="none" w:sz="0" w:space="0" w:color="auto"/>
        <w:right w:val="none" w:sz="0" w:space="0" w:color="auto"/>
      </w:divBdr>
    </w:div>
    <w:div w:id="1247611127">
      <w:bodyDiv w:val="1"/>
      <w:marLeft w:val="0"/>
      <w:marRight w:val="0"/>
      <w:marTop w:val="0"/>
      <w:marBottom w:val="0"/>
      <w:divBdr>
        <w:top w:val="none" w:sz="0" w:space="0" w:color="auto"/>
        <w:left w:val="none" w:sz="0" w:space="0" w:color="auto"/>
        <w:bottom w:val="none" w:sz="0" w:space="0" w:color="auto"/>
        <w:right w:val="none" w:sz="0" w:space="0" w:color="auto"/>
      </w:divBdr>
    </w:div>
    <w:div w:id="1693147257">
      <w:bodyDiv w:val="1"/>
      <w:marLeft w:val="0"/>
      <w:marRight w:val="0"/>
      <w:marTop w:val="0"/>
      <w:marBottom w:val="0"/>
      <w:divBdr>
        <w:top w:val="none" w:sz="0" w:space="0" w:color="auto"/>
        <w:left w:val="none" w:sz="0" w:space="0" w:color="auto"/>
        <w:bottom w:val="none" w:sz="0" w:space="0" w:color="auto"/>
        <w:right w:val="none" w:sz="0" w:space="0" w:color="auto"/>
      </w:divBdr>
    </w:div>
    <w:div w:id="1708214356">
      <w:bodyDiv w:val="1"/>
      <w:marLeft w:val="0"/>
      <w:marRight w:val="0"/>
      <w:marTop w:val="0"/>
      <w:marBottom w:val="0"/>
      <w:divBdr>
        <w:top w:val="none" w:sz="0" w:space="0" w:color="auto"/>
        <w:left w:val="none" w:sz="0" w:space="0" w:color="auto"/>
        <w:bottom w:val="none" w:sz="0" w:space="0" w:color="auto"/>
        <w:right w:val="none" w:sz="0" w:space="0" w:color="auto"/>
      </w:divBdr>
    </w:div>
    <w:div w:id="1756780426">
      <w:bodyDiv w:val="1"/>
      <w:marLeft w:val="0"/>
      <w:marRight w:val="0"/>
      <w:marTop w:val="0"/>
      <w:marBottom w:val="0"/>
      <w:divBdr>
        <w:top w:val="none" w:sz="0" w:space="0" w:color="auto"/>
        <w:left w:val="none" w:sz="0" w:space="0" w:color="auto"/>
        <w:bottom w:val="none" w:sz="0" w:space="0" w:color="auto"/>
        <w:right w:val="none" w:sz="0" w:space="0" w:color="auto"/>
      </w:divBdr>
    </w:div>
    <w:div w:id="1888953339">
      <w:bodyDiv w:val="1"/>
      <w:marLeft w:val="0"/>
      <w:marRight w:val="0"/>
      <w:marTop w:val="0"/>
      <w:marBottom w:val="0"/>
      <w:divBdr>
        <w:top w:val="none" w:sz="0" w:space="0" w:color="auto"/>
        <w:left w:val="none" w:sz="0" w:space="0" w:color="auto"/>
        <w:bottom w:val="none" w:sz="0" w:space="0" w:color="auto"/>
        <w:right w:val="none" w:sz="0" w:space="0" w:color="auto"/>
      </w:divBdr>
    </w:div>
    <w:div w:id="2028017812">
      <w:bodyDiv w:val="1"/>
      <w:marLeft w:val="0"/>
      <w:marRight w:val="0"/>
      <w:marTop w:val="0"/>
      <w:marBottom w:val="0"/>
      <w:divBdr>
        <w:top w:val="none" w:sz="0" w:space="0" w:color="auto"/>
        <w:left w:val="none" w:sz="0" w:space="0" w:color="auto"/>
        <w:bottom w:val="none" w:sz="0" w:space="0" w:color="auto"/>
        <w:right w:val="none" w:sz="0" w:space="0" w:color="auto"/>
      </w:divBdr>
    </w:div>
    <w:div w:id="211316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svn\dokumente_telecom\Standardisierungsbeitr&#228;ge\3GPP\Template\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3GPPSP220610</b:Tag>
    <b:SourceType>ElectronicSource</b:SourceType>
    <b:Guid>{02B824B4-4589-41A2-9233-D4AB2031C712}</b:Guid>
    <b:Title>New WID on Enhancements to UE Testing</b:Title>
    <b:Year>2022</b:Year>
    <b:Publisher>Orange, HEAD acoustics GmbH, Fraunhofer IIS, ROHDE &amp; SCHWARZ, Amazon</b:Publisher>
    <b:Author>
      <b:Author>
        <b:Corporate>3GPP SP-220610</b:Corporate>
      </b:Author>
    </b:Author>
    <b:RefOrder>1</b:RefOrder>
  </b:Source>
  <b:Source>
    <b:Tag>3GPPTS26131v171</b:Tag>
    <b:SourceType>ElectronicSource</b:SourceType>
    <b:Guid>{477F48AE-E2E8-4C7E-9FC8-F737C8135443}</b:Guid>
    <b:Title>Terminal acoustic characteristics for telephony; Requirements</b:Title>
    <b:Year>Release-17.1</b:Year>
    <b:Author>
      <b:Author>
        <b:Corporate>3GPP TS 26.131</b:Corporate>
      </b:Author>
    </b:Author>
    <b:RefOrder>2</b:RefOrder>
  </b:Source>
  <b:Source>
    <b:Tag>3GPPTS26132v171</b:Tag>
    <b:SourceType>ElectronicSource</b:SourceType>
    <b:Guid>{DAC3E40D-DEA3-4AAC-B675-B012DEB76B7A}</b:Guid>
    <b:Title>Speech and video telephony terminal acoustic test specification</b:Title>
    <b:Year>Release-17.1</b:Year>
    <b:Author>
      <b:Author>
        <b:Corporate>3GPP TS 26.132</b:Corporate>
      </b:Author>
    </b:Author>
    <b:RefOrder>3</b:RefOrder>
  </b:Source>
  <b:Source>
    <b:Tag>ITU_T_P1100_01_2019</b:Tag>
    <b:SourceType>ConferenceProceedings</b:SourceType>
    <b:Guid>{30868773-A680-4BC7-89C4-9D7B92DD4442}</b:Guid>
    <b:Author>
      <b:Author>
        <b:Corporate>ITU-T Recommendation P.1100</b:Corporate>
      </b:Author>
    </b:Author>
    <b:Title>Narrowband hands-free communication in motor vehicles</b:Title>
    <b:Year>01/2019</b:Year>
    <b:RefOrder>4</b:RefOrder>
  </b:Source>
  <b:Source>
    <b:Tag>ITUT_P1110_01_2019</b:Tag>
    <b:SourceType>ConferenceProceedings</b:SourceType>
    <b:Guid>{ABC52160-5451-47EC-B7EB-2D088AC2673B}</b:Guid>
    <b:Author>
      <b:Author>
        <b:Corporate>ITU-T Recommendation P.1110</b:Corporate>
      </b:Author>
    </b:Author>
    <b:Title>Wideband hands-free communication in motor vehicles</b:Title>
    <b:Year>01/2019</b:Year>
    <b:RefOrder>5</b:RefOrder>
  </b:Source>
  <b:Source>
    <b:Tag>ITUT_P1120_03_2017</b:Tag>
    <b:SourceType>ConferenceProceedings</b:SourceType>
    <b:Guid>{F2FD7A63-FECD-46C2-95F9-6124015A657C}</b:Guid>
    <b:Title>Super-wideband and fullband stereo hands-free communication in motor vehicles</b:Title>
    <b:Year>03/2017</b:Year>
    <b:Author>
      <b:Author>
        <b:Corporate>ITU-T Recommendation P.1120</b:Corporate>
      </b:Author>
    </b:Author>
    <b:RefOrder>6</b:RefOrder>
  </b:Source>
</b:Sources>
</file>

<file path=customXml/itemProps1.xml><?xml version="1.0" encoding="utf-8"?>
<ds:datastoreItem xmlns:ds="http://schemas.openxmlformats.org/officeDocument/2006/customXml" ds:itemID="{8D0316E7-8102-4285-816A-A4E15903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547</Words>
  <Characters>3121</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ETSI stylesheet (v.7.0)</vt:lpstr>
    </vt:vector>
  </TitlesOfParts>
  <Company>ETSI Sophia Antipolis</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cp:keywords>
  <dc:description/>
  <cp:lastModifiedBy>Reimes, Jan</cp:lastModifiedBy>
  <cp:revision>29</cp:revision>
  <cp:lastPrinted>1899-12-31T23:00:00Z</cp:lastPrinted>
  <dcterms:created xsi:type="dcterms:W3CDTF">2019-07-12T14:53:00Z</dcterms:created>
  <dcterms:modified xsi:type="dcterms:W3CDTF">2022-08-11T08:31:00Z</dcterms:modified>
</cp:coreProperties>
</file>